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00" w:type="pct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8903"/>
        <w:gridCol w:w="109"/>
      </w:tblGrid>
      <w:tr w:rsidR="00BF64CB" w:rsidRPr="00BF64CB" w:rsidTr="00BF64C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F64CB" w:rsidRPr="00BF64CB" w:rsidRDefault="00BF64CB" w:rsidP="00BF64CB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BF64C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val="pt-BR" w:eastAsia="pt-BR"/>
              </w:rPr>
              <w:t>O CERCO À COLÔMBIA - II</w:t>
            </w:r>
          </w:p>
        </w:tc>
        <w:tc>
          <w:tcPr>
            <w:tcW w:w="200" w:type="pct"/>
            <w:vAlign w:val="center"/>
            <w:hideMark/>
          </w:tcPr>
          <w:p w:rsidR="00BF64CB" w:rsidRPr="00BF64CB" w:rsidRDefault="00BF64CB" w:rsidP="00BF64CB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</w:tr>
      <w:tr w:rsidR="00BF64CB" w:rsidRPr="00BF64CB" w:rsidTr="00BF64C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F64CB" w:rsidRPr="00BF64CB" w:rsidRDefault="00BF64CB" w:rsidP="00BF64CB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pict>
                <v:rect id="_x0000_i1025" style="width:0;height:.7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BF64CB" w:rsidRPr="00BF64CB" w:rsidRDefault="00BF64CB" w:rsidP="00BF64CB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</w:tr>
      <w:tr w:rsidR="00BF64CB" w:rsidRPr="00BF64CB" w:rsidTr="00BF64C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F64CB" w:rsidRPr="00BF64CB" w:rsidRDefault="00BF64CB" w:rsidP="00BF64CB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A análise da crise colombiana exposta no meu último artigo veio a ser confirmada por ninguém menos do que o Presidente Chávez num vídeo (</w:t>
            </w:r>
            <w:proofErr w:type="gramStart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http://www.youtube.com/watch?</w:t>
            </w:r>
            <w:proofErr w:type="gramEnd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v=DzxOK21kXms&amp;</w:t>
            </w:r>
            <w:proofErr w:type="spellStart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feature</w:t>
            </w:r>
            <w:proofErr w:type="spellEnd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=</w:t>
            </w:r>
            <w:proofErr w:type="spellStart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related</w:t>
            </w:r>
            <w:proofErr w:type="spellEnd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) em que, entre outras revelações, como a de ter conhecido Lula e Raúl </w:t>
            </w:r>
            <w:proofErr w:type="spellStart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Reyes</w:t>
            </w:r>
            <w:proofErr w:type="spellEnd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na reunião do Foro de São Paulo de 1995 em El Salvador, disse: “</w:t>
            </w:r>
            <w:proofErr w:type="spellStart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Ayacucho</w:t>
            </w:r>
            <w:proofErr w:type="spellEnd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de </w:t>
            </w:r>
            <w:proofErr w:type="spellStart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ese</w:t>
            </w:r>
            <w:proofErr w:type="spellEnd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siglo</w:t>
            </w:r>
            <w:proofErr w:type="spellEnd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será em </w:t>
            </w:r>
            <w:proofErr w:type="spellStart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Colombia</w:t>
            </w:r>
            <w:proofErr w:type="spellEnd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”. Estava se referindo à Batalha de </w:t>
            </w:r>
            <w:proofErr w:type="spellStart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Ayacucho</w:t>
            </w:r>
            <w:proofErr w:type="spellEnd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de </w:t>
            </w:r>
            <w:proofErr w:type="gramStart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9</w:t>
            </w:r>
            <w:proofErr w:type="gramEnd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de dezembro de 1824, a batalha decisiva das campanhas de independência da América do Sul. O Vice-Rei do Peru era o único que ainda resistia ao ímpeto de independência e, cercado em Pampa de </w:t>
            </w:r>
            <w:proofErr w:type="spellStart"/>
            <w:proofErr w:type="gramStart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la</w:t>
            </w:r>
            <w:proofErr w:type="spellEnd"/>
            <w:proofErr w:type="gramEnd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Quinoa</w:t>
            </w:r>
            <w:proofErr w:type="spellEnd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, Departamento de </w:t>
            </w:r>
            <w:proofErr w:type="spellStart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Ayacucho</w:t>
            </w:r>
            <w:proofErr w:type="spellEnd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, rende-se. O vencedor, Marechal Antonio José de </w:t>
            </w:r>
            <w:proofErr w:type="spellStart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Sucre</w:t>
            </w:r>
            <w:proofErr w:type="spellEnd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, havia dito a seus homens antes da batalha: “¡Soldados</w:t>
            </w:r>
            <w:proofErr w:type="gramStart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!,</w:t>
            </w:r>
            <w:proofErr w:type="gramEnd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de </w:t>
            </w:r>
            <w:proofErr w:type="spellStart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los</w:t>
            </w:r>
            <w:proofErr w:type="spellEnd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esfuerzos</w:t>
            </w:r>
            <w:proofErr w:type="spellEnd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de </w:t>
            </w:r>
            <w:proofErr w:type="spellStart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hoy</w:t>
            </w:r>
            <w:proofErr w:type="spellEnd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depende </w:t>
            </w:r>
            <w:proofErr w:type="spellStart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la</w:t>
            </w:r>
            <w:proofErr w:type="spellEnd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suerte</w:t>
            </w:r>
            <w:proofErr w:type="spellEnd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de América </w:t>
            </w:r>
            <w:proofErr w:type="spellStart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del</w:t>
            </w:r>
            <w:proofErr w:type="spellEnd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Sur</w:t>
            </w:r>
            <w:proofErr w:type="spellEnd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; </w:t>
            </w:r>
            <w:proofErr w:type="spellStart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otro</w:t>
            </w:r>
            <w:proofErr w:type="spellEnd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día</w:t>
            </w:r>
            <w:proofErr w:type="spellEnd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de gloria </w:t>
            </w:r>
            <w:proofErr w:type="spellStart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va</w:t>
            </w:r>
            <w:proofErr w:type="spellEnd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a </w:t>
            </w:r>
            <w:proofErr w:type="spellStart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coronar</w:t>
            </w:r>
            <w:proofErr w:type="spellEnd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vuestra</w:t>
            </w:r>
            <w:proofErr w:type="spellEnd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admirable</w:t>
            </w:r>
            <w:proofErr w:type="spellEnd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constancia</w:t>
            </w:r>
            <w:proofErr w:type="spellEnd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. ¡Soldados!: ¡Viva </w:t>
            </w:r>
            <w:proofErr w:type="spellStart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el</w:t>
            </w:r>
            <w:proofErr w:type="spellEnd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Libertador! ¡Viva Bolívar, Salvador </w:t>
            </w:r>
            <w:proofErr w:type="spellStart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del</w:t>
            </w:r>
            <w:proofErr w:type="spellEnd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Perú</w:t>
            </w:r>
            <w:proofErr w:type="spellEnd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!”. Em </w:t>
            </w:r>
            <w:proofErr w:type="gramStart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2</w:t>
            </w:r>
            <w:proofErr w:type="gramEnd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de abril do ano seguinte o Departamento do Alto Peru torna-se independente com o nome de Bolívia (si de </w:t>
            </w:r>
            <w:proofErr w:type="spellStart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Rómulo</w:t>
            </w:r>
            <w:proofErr w:type="spellEnd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, Roma, de Bolívar, Bolívia).</w:t>
            </w:r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Se </w:t>
            </w:r>
            <w:proofErr w:type="spellStart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Ayacucho</w:t>
            </w:r>
            <w:proofErr w:type="spellEnd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representou o fim do Império Espanhol nas Américas, Chávez, sentindo-se legítimo sucessor de Bolívar, prevê que sua </w:t>
            </w:r>
            <w:proofErr w:type="spellStart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Ayacucho</w:t>
            </w:r>
            <w:proofErr w:type="spellEnd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será a derrota do “império” americano, representado pelo “vice-rei” Uribe em Bogotá revirando a “</w:t>
            </w:r>
            <w:proofErr w:type="spellStart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suerte</w:t>
            </w:r>
            <w:proofErr w:type="spellEnd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de América </w:t>
            </w:r>
            <w:proofErr w:type="spellStart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del</w:t>
            </w:r>
            <w:proofErr w:type="spellEnd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Sur</w:t>
            </w:r>
            <w:proofErr w:type="spellEnd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” outra vez, obviamente com ele mesmo como El Libertador. </w:t>
            </w:r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Mas Chávez não é louco nem burro, sabe muito bem do que está falando e conta com o apoio de quase todos os mandatários sul-americanos </w:t>
            </w:r>
            <w:proofErr w:type="spellStart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co-irmãos</w:t>
            </w:r>
            <w:proofErr w:type="spellEnd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no Foro de São Paulo, com a possível exceção de Alan García que enfrenta crescentes exigências dos “movimentos populares” ligados a </w:t>
            </w:r>
            <w:proofErr w:type="spellStart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Ollanta</w:t>
            </w:r>
            <w:proofErr w:type="spellEnd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Humala</w:t>
            </w:r>
            <w:proofErr w:type="spellEnd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. No Paraguai, segundo as pesquisas eleitorais, provavelmente será eleito o candidato da </w:t>
            </w:r>
            <w:proofErr w:type="spellStart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Alianza</w:t>
            </w:r>
            <w:proofErr w:type="spellEnd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Patriótica para </w:t>
            </w:r>
            <w:proofErr w:type="spellStart"/>
            <w:proofErr w:type="gramStart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el</w:t>
            </w:r>
            <w:proofErr w:type="spellEnd"/>
            <w:proofErr w:type="gramEnd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Cambio (APC), Fernando </w:t>
            </w:r>
            <w:proofErr w:type="spellStart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Lugo</w:t>
            </w:r>
            <w:proofErr w:type="spellEnd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, </w:t>
            </w:r>
            <w:proofErr w:type="spellStart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ex-Bispo</w:t>
            </w:r>
            <w:proofErr w:type="spellEnd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da Demonologia da Libertação, chamado “o Bispo dos pobres”, que tem encontro marcado com Lula para abril. Conta com o apoio maciço dos “movimentos sociais” reunidos no Movimento </w:t>
            </w:r>
            <w:proofErr w:type="spellStart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Tekojoja</w:t>
            </w:r>
            <w:proofErr w:type="spellEnd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(de </w:t>
            </w:r>
            <w:proofErr w:type="spellStart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Caaguazú</w:t>
            </w:r>
            <w:proofErr w:type="spellEnd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) e no </w:t>
            </w:r>
            <w:proofErr w:type="spellStart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Movimiento</w:t>
            </w:r>
            <w:proofErr w:type="spellEnd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Agrário y Popular (MAP). O </w:t>
            </w:r>
            <w:proofErr w:type="spellStart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Tekojoja</w:t>
            </w:r>
            <w:proofErr w:type="spellEnd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está firmemente ligado à Via Campesina e às “lutas dos camponeses de todo o mundo contra os transgênicos” (ver em http://www.lasojamata.org/?q=node/86 e similares - notar bem o nome do site: a soja mata!). Há um ano foram os destaques da Cúpula do Protocolo de Biossegurança (MOP3) e da Convenção da Biodiversidade (COP8) em Curitiba (http://www.biodiversidadla.org/content/view/full/22620). </w:t>
            </w:r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O Grupo de </w:t>
            </w:r>
            <w:proofErr w:type="spellStart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Reflexión</w:t>
            </w:r>
            <w:proofErr w:type="spellEnd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Rural (http://www.grr.org.ar) de Buenos Aires lançou no Centro Cultural </w:t>
            </w:r>
            <w:proofErr w:type="spellStart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Guapachoza</w:t>
            </w:r>
            <w:proofErr w:type="spellEnd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, em dezembro passado, a compilação Repúblicas Unidas de </w:t>
            </w:r>
            <w:proofErr w:type="spellStart"/>
            <w:proofErr w:type="gramStart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la</w:t>
            </w:r>
            <w:proofErr w:type="spellEnd"/>
            <w:proofErr w:type="gramEnd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Soja sobre as </w:t>
            </w:r>
            <w:proofErr w:type="spellStart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conseqüências</w:t>
            </w:r>
            <w:proofErr w:type="spellEnd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do plantio de soja. A conclusão principal dos ‘investigadores’ da Argentina, Paraguai, Bolívia, Equador, Brasil, Argentina, Suíça e Espanha é que “a soja não é um mero cultivo, mas um sistema com um valor geopolítico que sustenta a globalização econômica e a agricultura em função dos interesses corporativos. (...) (promovem) a desumanização da agricultura e o despovoamento do campo (no que chamam de ‘republiquetas </w:t>
            </w:r>
            <w:proofErr w:type="spellStart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sojeiras</w:t>
            </w:r>
            <w:proofErr w:type="spellEnd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’), em favor dos interesses corporativos dos países do Sul e do Norte”. Os autores propõem “outro futuro com Soberania Alimentar e Territorial para todos nossos povos”.</w:t>
            </w:r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>* * *</w:t>
            </w:r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>Grifei Territorial porque é também da separação de territórios indígenas (e, no Brasil, quilombolas) que estamos tratando quando se discute o problema colombiano.</w:t>
            </w:r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Assinalei no artigo anterior que o cerco à </w:t>
            </w:r>
            <w:proofErr w:type="spellStart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Colombia</w:t>
            </w:r>
            <w:proofErr w:type="spellEnd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não está relacionado somente às fronteiras externas, mas inclui uma extensa fronteira interna com os territórios dominados pelas FARC. O reconhecimento das FARC-EP como força beligerante por parte de Chávez – e </w:t>
            </w:r>
            <w:proofErr w:type="spellStart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conseqüentemente</w:t>
            </w:r>
            <w:proofErr w:type="spellEnd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, em pé de igualdade com o legítimo Exército da </w:t>
            </w:r>
            <w:proofErr w:type="spellStart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Colombia</w:t>
            </w:r>
            <w:proofErr w:type="spellEnd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- abre o caminho para os demais países que as consideram terroristas e narcotraficantes deixarem de fazê-lo. E adotem uma atitude safada à </w:t>
            </w:r>
            <w:proofErr w:type="spellStart"/>
            <w:proofErr w:type="gramStart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la</w:t>
            </w:r>
            <w:proofErr w:type="spellEnd"/>
            <w:proofErr w:type="gramEnd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façon</w:t>
            </w:r>
            <w:proofErr w:type="spellEnd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de </w:t>
            </w:r>
            <w:proofErr w:type="spellStart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Brésil</w:t>
            </w:r>
            <w:proofErr w:type="spellEnd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como foi definida pelo Ministro (ele acha que é, mas quem manda é o MAG) Celso Amorim, que declarou perante a Comissão de Relações Exteriores do Senado ontem (12/03) que o Brasil “não classifica as FARC de grupo guerrilheiro, beligerante ou criminoso porque isso poderia atrapalhar nossas estratégias diplomáticas ou humanitárias”. De acordo com ele o Brasil “segue a classificação das Nações Unidas, que define apenas a Al-Qaeda como organização terrorista”. “Algo novo e positivo que se pode fazer é por meio de medidas práticas, como a criação de confiança (em quem cara pálida? Em terroristas?), </w:t>
            </w:r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lastRenderedPageBreak/>
              <w:t>a verificação de compromisso (pergunte ao Chamberlain como eles respeitam compromissos!) e a maior facilidade de comunicação entre os governantes”, disse Amorim para os senadores durante a reunião (Tatiana Damasceno em http://congressoemfoco.ig.com.br:80/Ultimas.aspx?id=21414). Maior facilidade como, depois da Internet banda larga, dos celulares e das comunicações via satélite? </w:t>
            </w:r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Não só na ONU, mas a definição de terrorismo ainda não foi encontrada, pois os terroristas e países que os </w:t>
            </w:r>
            <w:proofErr w:type="spellStart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apóiam</w:t>
            </w:r>
            <w:proofErr w:type="spellEnd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participam das discussões e fazem tudo para que nunca haja definição – ou quando houver, seja tarde demais! (ver em http://www.midiasemmascara.com.br/artigo.php?sid=5606 e na Revista Tecnologia &amp; Defesa, Suplemento Especial, nº 15, Ano, 23). Em relação às FARC-EP, a ONU tem razões especiais para isto, como veremos adiante. </w:t>
            </w:r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As FARC reconhecem ter 745 pessoas </w:t>
            </w:r>
            <w:proofErr w:type="spellStart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seqüestradas</w:t>
            </w:r>
            <w:proofErr w:type="spellEnd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(organizações independentes falam no dobro), dos quais somente 41 são considerados “trocáveis” – são os que têm apoio em Paris, os que têm peso político e ajudariam as FARC a obter reconhecimento “humanitário”. Os demais 704 são “cidadãos esquecidos”, “</w:t>
            </w:r>
            <w:proofErr w:type="spellStart"/>
            <w:proofErr w:type="gramStart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não-pessoas</w:t>
            </w:r>
            <w:proofErr w:type="spellEnd"/>
            <w:proofErr w:type="gramEnd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”. Em troca as FARC exigem a libertação de 500 companheiros especializados em colocar colares-bomba em suas vítimas. Além disto, e aí vem a </w:t>
            </w:r>
            <w:proofErr w:type="spellStart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tramóia</w:t>
            </w:r>
            <w:proofErr w:type="spellEnd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, exigem a liberação de parte do território colombiano onde seriam realizadas as trocas. Coincidentemente, os municípios de </w:t>
            </w:r>
            <w:proofErr w:type="spellStart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Pradero</w:t>
            </w:r>
            <w:proofErr w:type="spellEnd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e Florida estão estrategicamente localizados no corredor de comunicação da zona ocidental, Departamento de </w:t>
            </w:r>
            <w:proofErr w:type="spellStart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Chocó</w:t>
            </w:r>
            <w:proofErr w:type="spellEnd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, com a fronteira com o Panamá e saída para o Pacífico e para o Golfo de </w:t>
            </w:r>
            <w:proofErr w:type="spellStart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Urabá</w:t>
            </w:r>
            <w:proofErr w:type="spellEnd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, onde a ONU, com o apoio da Inglaterra, patrocina um movimento separatista, no mínimo desde 1995. Logo após a derrota dos cartéis de Cali e Medellín pelo Plano </w:t>
            </w:r>
            <w:proofErr w:type="spellStart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Colombia</w:t>
            </w:r>
            <w:proofErr w:type="spellEnd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se iniciaram os preparativos para a instalação de grupos guerrilheiros. Já que não existem argumentos étnicos – como na Amazônia, Bósnia ou </w:t>
            </w:r>
            <w:proofErr w:type="spellStart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Kosovo</w:t>
            </w:r>
            <w:proofErr w:type="spellEnd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- criem-se incidentes que permitam trazer os “capacetes azuis”. O golfo se estende ao longo do Caribe, da fronteira com o Panamá (ver mapa) através dos Departamentos de </w:t>
            </w:r>
            <w:proofErr w:type="spellStart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Chocó</w:t>
            </w:r>
            <w:proofErr w:type="spellEnd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e Antioquia (capital </w:t>
            </w:r>
            <w:proofErr w:type="spellStart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Medellin</w:t>
            </w:r>
            <w:proofErr w:type="spellEnd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) até o de Córdoba. </w:t>
            </w:r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Atua na região a organização belga </w:t>
            </w:r>
            <w:proofErr w:type="spellStart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Pax</w:t>
            </w:r>
            <w:proofErr w:type="spellEnd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Christi </w:t>
            </w:r>
            <w:proofErr w:type="spellStart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International</w:t>
            </w:r>
            <w:proofErr w:type="spellEnd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, (http://www.paxchristi.net/members) da qual fazem parte a Comissão Pastoral da Terra (e através dela o MST), a </w:t>
            </w:r>
            <w:proofErr w:type="spellStart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Red</w:t>
            </w:r>
            <w:proofErr w:type="spellEnd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Nacional de Iniciativas </w:t>
            </w:r>
            <w:proofErr w:type="spellStart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Ciudadanas</w:t>
            </w:r>
            <w:proofErr w:type="spellEnd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por </w:t>
            </w:r>
            <w:proofErr w:type="spellStart"/>
            <w:proofErr w:type="gramStart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la</w:t>
            </w:r>
            <w:proofErr w:type="spellEnd"/>
            <w:proofErr w:type="gramEnd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Paz y contra </w:t>
            </w:r>
            <w:proofErr w:type="spellStart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la</w:t>
            </w:r>
            <w:proofErr w:type="spellEnd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Guerra (REDEPAZ) (http://www.redepaz.org.co/). A REDEPAZ, um conglomerado de 51 grupos de trabalho, realizou em 1999 o Congresso Nacional pela Paz, que elegeu um Comitê Temático Nacional de 20 membros, dos quais 10 eram representantes das FARC-EP para “negociar” com o legítimo governo colombiano. Este Comitê não funciona mais</w:t>
            </w:r>
            <w:proofErr w:type="gramStart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mas</w:t>
            </w:r>
            <w:proofErr w:type="gramEnd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a REDEPAZ também está integrada na luta contra os transgênicos. Segundo o documento Poder Popular </w:t>
            </w:r>
            <w:proofErr w:type="spellStart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en</w:t>
            </w:r>
            <w:proofErr w:type="spellEnd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Colombia</w:t>
            </w:r>
            <w:proofErr w:type="spellEnd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, de autoria do Presidente de seu colegiado, Luis Emil </w:t>
            </w:r>
            <w:proofErr w:type="spellStart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Sanabria</w:t>
            </w:r>
            <w:proofErr w:type="spellEnd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Duran, a rede tem interesse na reformulação da Constituição colombiana que visa o estabelecimento de uma democracia direta e não mais representativa (ver em </w:t>
            </w:r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>http://www.redepaz.org.co/IMG/pdf/GENESIS_FINAL_CONSTITUYENTE__resumen__PDF_1_.pdf, principalmente o Capítulo III, na página 12).</w:t>
            </w:r>
          </w:p>
        </w:tc>
        <w:tc>
          <w:tcPr>
            <w:tcW w:w="0" w:type="auto"/>
            <w:vAlign w:val="center"/>
            <w:hideMark/>
          </w:tcPr>
          <w:p w:rsidR="00BF64CB" w:rsidRPr="00BF64CB" w:rsidRDefault="00BF64CB" w:rsidP="00BF64CB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lastRenderedPageBreak/>
              <w:t> </w:t>
            </w:r>
          </w:p>
        </w:tc>
      </w:tr>
      <w:tr w:rsidR="00BF64CB" w:rsidRPr="00BF64CB" w:rsidTr="00BF64C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F64CB" w:rsidRPr="00BF64CB" w:rsidRDefault="00BF64CB" w:rsidP="00BF64CB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lastRenderedPageBreak/>
              <w:pict>
                <v:rect id="_x0000_i1026" style="width:0;height:.7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BF64CB" w:rsidRPr="00BF64CB" w:rsidRDefault="00BF64CB" w:rsidP="00BF64CB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</w:tr>
      <w:tr w:rsidR="00BF64CB" w:rsidRPr="00BF64CB" w:rsidTr="00BF64C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F64CB" w:rsidRPr="00BF64CB" w:rsidRDefault="00BF64CB" w:rsidP="00BF64CB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Heitor De Paola, MSM, em 14 de março de </w:t>
            </w:r>
            <w:proofErr w:type="gramStart"/>
            <w:r w:rsidRPr="00BF64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2008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F64CB" w:rsidRPr="00BF64CB" w:rsidRDefault="00BF64CB" w:rsidP="00BF64C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</w:tbl>
    <w:p w:rsidR="005435FF" w:rsidRPr="00BF64CB" w:rsidRDefault="005435FF">
      <w:pPr>
        <w:rPr>
          <w:lang w:val="pt-BR"/>
        </w:rPr>
      </w:pPr>
    </w:p>
    <w:sectPr w:rsidR="005435FF" w:rsidRPr="00BF64CB" w:rsidSect="0005298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F64CB"/>
    <w:rsid w:val="00052982"/>
    <w:rsid w:val="00190865"/>
    <w:rsid w:val="00430C80"/>
    <w:rsid w:val="005435FF"/>
    <w:rsid w:val="007B3245"/>
    <w:rsid w:val="00BA6E93"/>
    <w:rsid w:val="00BF64CB"/>
    <w:rsid w:val="00FA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5FF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F64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5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1224</Words>
  <Characters>6614</Characters>
  <Application>Microsoft Office Word</Application>
  <DocSecurity>0</DocSecurity>
  <Lines>55</Lines>
  <Paragraphs>15</Paragraphs>
  <ScaleCrop>false</ScaleCrop>
  <Company/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Alyne</dc:creator>
  <cp:keywords/>
  <dc:description/>
  <cp:lastModifiedBy>Alyne</cp:lastModifiedBy>
  <cp:revision>1</cp:revision>
  <dcterms:created xsi:type="dcterms:W3CDTF">2018-05-16T13:26:00Z</dcterms:created>
  <dcterms:modified xsi:type="dcterms:W3CDTF">2018-05-16T13:26:00Z</dcterms:modified>
</cp:coreProperties>
</file>