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CC" w:rsidRDefault="00111FCC"/>
    <w:p w:rsidR="00111FCC" w:rsidRPr="00111FCC" w:rsidRDefault="00111FCC">
      <w:pPr>
        <w:rPr>
          <w:lang w:val="pt-BR"/>
        </w:rPr>
      </w:pPr>
      <w:r>
        <w:rPr>
          <w:rStyle w:val="Forte"/>
          <w:rFonts w:ascii="Verdana" w:hAnsi="Verdana"/>
          <w:color w:val="000000"/>
          <w:sz w:val="18"/>
          <w:szCs w:val="18"/>
          <w:lang w:val="pt-BR"/>
        </w:rPr>
        <w:tab/>
      </w:r>
      <w:r>
        <w:rPr>
          <w:rStyle w:val="Forte"/>
          <w:rFonts w:ascii="Verdana" w:hAnsi="Verdana"/>
          <w:color w:val="000000"/>
          <w:sz w:val="18"/>
          <w:szCs w:val="18"/>
          <w:lang w:val="pt-BR"/>
        </w:rPr>
        <w:tab/>
      </w:r>
      <w:r w:rsidRPr="00111FCC">
        <w:rPr>
          <w:rStyle w:val="Forte"/>
          <w:rFonts w:ascii="Verdana" w:hAnsi="Verdana"/>
          <w:color w:val="000000"/>
          <w:sz w:val="18"/>
          <w:szCs w:val="18"/>
          <w:lang w:val="pt-BR"/>
        </w:rPr>
        <w:t>AS RAÍZES HISTÓRICAS DO EIXO DO MAL LATINO AMERICANO - I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102"/>
        <w:gridCol w:w="109"/>
      </w:tblGrid>
      <w:tr w:rsidR="00111FCC" w:rsidRPr="00111FCC" w:rsidTr="00111F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FCC" w:rsidRPr="00111FCC" w:rsidRDefault="00111FCC" w:rsidP="00111FCC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Uma nova ameaça terrorista (...) pode bem vir de um eixo incluindo Cuba de Fidel Castro, o regime de Chávez na Venezuela e um 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recém eleito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presidente radical no Brasil, todos com ligações com Iraque, Irã e China.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(…) Isto pode levar a que 300 milhões de pessoas em seis países caiam sob o controle de regimes radicais anti-EUA (...). Um eixo Castro-Chávez-da Silva significaria ligar 43 anos de luta </w:t>
            </w:r>
            <w:proofErr w:type="spellStart"/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anti-americana</w:t>
            </w:r>
            <w:proofErr w:type="spellEnd"/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Castro com a riqueza petrolífera da Venezuela e com o potencial econômico e a incipiente capacidade nuclear incluindo mísseis, do Brasil.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Constantine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Menges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2002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Quem primeiro usou a expressão “eixo do mal” foi o Professor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Constantine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Menges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do Hudson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Institute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num artigo para o Washington Times intitulado “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Blocking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new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axis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of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evil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”, publicado em 07/08/2002, em plena campanha presidencial brasileira quando todas as pesquisas indicavam a vitória de Lula. Posteriormente, escreveu vários artigos sobre o tema. Tiveram quase nenhuma repercussão no governo americano e no Brasil onde somente os articulistas ligados ao Professor Olavo de Carvalho, eu incluso, deram a devida atenção. Nos EUA a predominância da preocupação era com o Oriente Médio e as análises errôneas dos assessores do Secretário de Estado Colin Powell, notadamente Otto Reich, sobre 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 AL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a então Embaixadora dos USA em Brasília, Donna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Hrinak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que declarou em junho de 2002 que Lula “encarnava o sonho americano”, sem tomar conhecimento do apoio de Lula ao terrorismo internacional, incluindo islâmico, o que viria a ser confirmado pela seleção de países árabes a que visitou como Presidente. Denunciava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Menges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: “este candidato radical é o promotor do terrorismo internacional por coordenar planos terroristas de organizações </w:t>
            </w:r>
            <w:proofErr w:type="spellStart"/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anti-americanas</w:t>
            </w:r>
            <w:proofErr w:type="spellEnd"/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radicais que se reúnem anualmente no Foro de São Paulo”.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Suas observações continuam pertinentes ainda hoje mas necessitando de algumas atualizações. A principal delas, a de rastrear a evolução deste Eixo com as estratégias comunistas de dominação mundial anteriores e inseri-lo em seu lócus apropriado dentro das mesmas. Para isto, as políticas do Eixo serão estudadas à luz das informações contidas nos Memorandos enviados à CIA por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Anatoliy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Golitsyn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reunidos nos livros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New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Lies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for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Old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The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Perestroika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Deception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.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À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guisa de apresentação, basta por enquanto dizer que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Golitsyn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foi agente graduado do KGB, formou-se pela Universidade de Marxismo-Leninismo e pela Escola Diplomática, foi membro do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Komsomol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(Juventude Comunista) e tornou-se membro do Partido Comunista em 1945, tendo percorrido todos os passos dentro dos serviços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contra-informação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soviéticos. Em 1961, exilado nos EUA, passou a escrever memorandos para a CIA, denunciando a estratégia comunista que não estava sendo percebida porque o Ocidente usava métodos superados de avaliação.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O grande mérito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Golitsyn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que extrapola o estudo específico da URSS, é o de fornecer aos analistas políticos de qualquer situação ligada a partidos comunistas, inclusive no presente, uma nova metodologia de avaliação, até mesmo para o estudo – que eu saiba inédito - que pretendo fazer neste artigo.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AS TRÊS GRANDES ESTRATÉGIAS COMUNISTAS DE DOMÍNIO MUNDIAL E SUA REPERCUSSÃO NA AMÉRICA LATINA [2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]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Find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the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beginning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of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things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–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And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you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will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understand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much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Abbie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Farwell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Brown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Perguntado em 1994 pelo Deputado americano Clark Bowles, se o objetivo de longo prazo do movimento comunista continuava a ser o mesmo, de dominação mundial, Mo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Xiusong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Vice Presidente do Partido Comunista Chinês, disse: Sim, certamente. Esta é a única razão pela qual existimos! Note-se que em 1994 já haviam transcorrido nove anos do início da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Perestroika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cinco da Queda do Muro de Berlim e a China já “se abria” economicamente para o capital internacional. E o pior é que muitos, alguns ingênuos, outros mal intencionados, ainda acreditam que esta “abertura” é para valer e não apenas parte de uma estratégia de usar o capital ocidental – único lugar onde ele existe! – para tornar-se cada vez mais forte militarmente e mais facilmente destruir o Ocidente. Os chineses mostram que aprenderam a lição leninista: “os capitalistas comprarão a corda com que serão enforcados”. Já os capitalistas não aprenderam nada, 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com sua crença mística no “mercado” onipotente capaz de gerar milagres somente por seu apelo à liberdade, e estão não apenas comprando a corda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mas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financiando a fábrica de cordas e investindo em suas ações na bolsa para serem destruídos com o bolso cheio de dinheiro!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A PRIMEIRA GRANDE ESTRATÉGIA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O objetivo desta primeira estratégia era apenas derrubar o Regime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Tzarista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na Rússia e conquistar o poder para os Bolcheviques. Em 1917, quando da revolução que acabou com a Monarquia russa, enquanto todos os partidos agiam às tontas, improvisando, apenas um, o Partido Bolchevique, sabia exatamente o que queria e já fora definido por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Lenin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em seu “O que fazer?” publicado em 1902. Na realidade esta primeira estratégia foi preparada durante 20 anos, desde o final do século XIX, 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implementada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testada durante a Revolução de 1905 e acalentada durante todo o tempo de exílio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Lenin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As repercussões na América Latina foram indiretas. Foram escassos os interesses na região,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Lenin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voltou-se para os países ricos na ânsia de conseguir sobreviver às contradições do regime e à violenta guerra civil que se seguiu à tomada do poder. Foram fundados partidos comunistas em vários países latino-americanos - como o Partido Comunista do Brasil - mais por difusão ideológica do que propriamente por uma ação direta da incipiente URSS. Uma iniciativa mais séria do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Komintern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só veio a se desenvolver durante a Segunda Estratégia (1919-1953).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SEGUNDA GRANDE ESTRATÉGIA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Seus objetivos principais foram promover o comunismo na Rússia e fomentar a Revolução Comunista Mundial. Inicialmente,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Lenin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desenvolveu um ataque frontal ao mundo capitalista através da fundação do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Komintern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em 1919.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Posteriormente, para tentar salvar a economia que entrava em colapso aceleradamente,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Lenin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lançou a NEP Nova Política Econômica – precursora do </w:t>
            </w:r>
            <w:proofErr w:type="spellStart"/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pseudo-capitalismo</w:t>
            </w:r>
            <w:proofErr w:type="spellEnd"/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chinês atual, com a promoção de reformas políticas para tornar o comunismo mais atraente, um limitado capitalismo controlado pelo Estado visando conseguir créditos e tecnologia do Ocidente, o aumento do comércio internacional, e atrair capitais de que necessitava desesperadamente.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Com a morte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Lenin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Stalin partiu para a industrialização e coletivização forçadas, repressão maciça e poder pessoal absoluto, liquidando a NEP em 1929. Na década de trinta passou a explorar as contradições entre as Grandes Potências – principalmente através do Pacto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Nazi-Soviético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Molotov-Ribbentrop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).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Com a ruptura do Pacto por parte de Hitler, Stalin aliou-se com os Estados Unidos e a Inglaterra para conseguir ajuda militar americana e enfrentar o Exército alemão. Para enganar aos novos aliados, Churchill e Roosevelt, mostrou-se apenas um líder nacionalista, sem pretensões expansionistas, 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às expensas da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ideologia, escondendo a grande estratégia expansionista já em preparo e posta em prática no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pós-Guerra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: expansionismo para o Leste Europeu e a Ásia.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OFENSIVAS NA AMÉRICA DURANTE A SEGUNDA ESTRATÉGIA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Para abordar este assunto utilizarei o termo “Ofensivas” que facilita a apresentação didática do assunto. Durante a Segunda Estratégia, distingo duas ofensivas, separadas pelo período da Segunda Guerra Mundial.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PRIMEIRA OFENSIVA (1919-1943)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Com a criação do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Komintern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(Terceira Internacional ou Internacional Comunista [3]) em 1919,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Lenin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deu o passo principal no sentido de completar a tarefa legada por Marx 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Engels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no Manifesto Comunista: o internacionalismo proletário.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Georgij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Mikhailov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Dimitrov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o búlgaro que viria a desempenhar importantes funções no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Komintern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sendo Secretário Geral de 1934 até 1943, num artigo publicado em Sófia em maio de 1919 para o Partido Comunista Búlgaro, [4] já se referia a duas cartas enviadas por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Lenin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: uma para os trabalhadores da América (do Norte) e outra para estes e os trabalhadores europeus. Na primeira carta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Lenin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distribuía as principais tarefas do proletariado 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 xml:space="preserve">mundial, ressaltava o caráter eminentemente pacífico da URSS, a importância da Ditadura do Proletariado e da Revolução Russa para um novo mundo. Na segunda, notando o sucesso do proletariado revolucionário em vários países em sua luta pelo poder político, ele reforçava a importância da Internacional Comunista como meio para atingir os fins da revolução mundial proletária. A política central do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Komintern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era estabelecer Partidos Comunistas em todos os países como forma de incrementar a revolução proletária mundial.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Ainda sob a direção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Grigory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Yevseievich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Zinoviev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a área principal de atuação do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Komintern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foi a Alemanha onde logo após o final da guerra e a queda da Monarquia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Hohenzollern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estourou uma revolta popular, a Revolução Alemã de 1918, incitada pela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Spartakus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Bund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(Liga Spartacus), fundada por Rosa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Luxemburg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(“Rosa Vermelha”) e Karl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Liebknecht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que em dezembro deste mesmo ano mudou o nome para Partido Comunista Alemão aceitando as 21 Condições do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Komintern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[5]. Além 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da Alemanha ser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o principal país onde uma revolução era possível, 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Spartakus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Bund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tinha grande influência nos sindicatos de marinheiros mercantes, dos mais atuantes em 1918, e 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Komintern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anteviu o potencial de disseminação mundial desses marujos [6]. Foi logo fundada em Hamburgo uma “Casa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Liebknecht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”, na aparência totalmente apartidária, para “descanso e lazer” dos marujos alemães e de outros países. Estas casas foram logo espalhadas pelos principais portos europeus, como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Rotterdam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Antuérpia, Le Havre, Marselha, etc., e daí para o mundo. Organizava-se também a estiva nestes portos.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Na área sindical foi estimulada a filiação das centrais nacionais de trabalhadores à Internacional Vermelha de Centrais de Trabalhadores,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Profintern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simultaneamente combatendo todos os outros movimentos sindicais, chamados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anarco-sindicais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por não terem uma direção internacional unificada. Na área política, principalmente após o Sétimo Congresso do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Komintern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em 1935, foi recomendada a política de Frentes Populares com outros partidos “progressistas”, mantendo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no entanto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o PC sua plena autonomia como Partido de Vanguarda. Esta política foi muito bem sucedida na França e na Espanha. Num memorável artigo [7]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Dimitrov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resume toda a importância desta política.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Nos Estados Unidos a grande vitória foi 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penetração cultural, levada a efeito sob a direção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Willi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Münzenberg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.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Münzenberg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um radical alemão com grande talento para trabalhos secretos, foi apresentado por Trotsky 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Lenin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ainda no exílio na Suíça e desde 1915 foi seu companheiro fiel. Foi apresentado por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Lenin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 Karl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Radek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um intelectual radical polonês já do círculo íntimo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Lenin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protegido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Féliks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Dzerzhinsky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o inventor do estado policial e fundador da primeira polícia política do regime comunista, a </w:t>
            </w:r>
            <w:proofErr w:type="spellStart"/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VTchK</w:t>
            </w:r>
            <w:proofErr w:type="spellEnd"/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GPU (iniciais russas para Comissão Extraordinária de Todas as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Rússias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para Combater 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Contra-Revolução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a Sabotagem; posteriormente foi abreviada para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VTchK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popularmente conhecida como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Cheka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). Este trio comandou a infiltração na Europa, nos Estados Unidos e na América Latina.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Münzenberg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foi o primeiro grande mestre numa nova forma de serviço secreto: o front secreto de propaganda e a manipulação de “companheiros de viagem”. Seu objetivo, plenamente alcançado, era criar o principal preconceito político de seu tempo: a crença de que qualquer opinião que servisse à política externa da URSS era derivada dos mais essenciais elementos da decência. Conseguiu instilar o sentimento, que passou a ser tido como a mais pura verdade, de que criticar a política soviética era 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típico da maldade, estupidez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da inveja, enquanto apoiar a URSS era prova de uma mente esclarecida e avançada, comprometida com o que há de melhor na humanidade e sensibilidade refinada [8]. Todos os “formadores de opinião” foram envolvidos: escritores, artistas, comentaristas, padres, professores, cientistas, capitães da indústria, psicólogos, etc. Todos faziam parte do que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Münzenberg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chamava com desprezo “Clube dos Inocentes” (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daí derivam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as expressões inocentes úteis e idiotas úteis). Estes não faziam parte dos que “sabem das coisas”, que conhecem a agenda secreta, e assim tinha que ser para que defendessem a “causa” com ardor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moralístico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religioso. A lista dos “inocentes” é qualitativamente impressionante: Ernest Hemingway, John dos Passos,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Lillian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Hellman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George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Groz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Erwin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Piscator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Mary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McCarthy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Adré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Malraux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André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Gide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Bertold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Brecht, Dorothy Parker, Kim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Philby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Guy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Borgess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Sir Anthony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Blunt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Romain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Rolland, Albert Einstein,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Upton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Sinclair, George Bernard Shaw, H. G. Wells e muitos mais.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Em junho de 1933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Münzenberg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organizou um encontro de intelectuais europeus no Congresso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Anti-Fascista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Europeu, em Paris que veio a se juntar a outros sob o nome Comitê de Luta Contra a Guerra e o Fascismo [9]. A década de 30 foi chamada de “A Década Vermelha” [10].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 xml:space="preserve">Na América Latina as principais realizações comunistas nesta infiltração foram em Cuba e no Brasil. Em 1933 em Cuba, seguindo a recomendação de fronts populares, apoiaram a “Revolta dos Sargentos” liderada por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Fulgencio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Batista, o qual se candidatou e foi eleito Presidente em 1940, com pleno apoio do PC Cubano. Exilado em 1944 retornou em 1952 e foi ditador até a vitória de Fidel Castro em 1959. Durante todo o tempo, até quase a chegada de Castro a Havana, o Partido Comunista apoiou Batista. Castro teve que se entender diretamente com Moscou.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No Brasil, a primeira grande ofensiva comunista se deu em 1935, na chamada Intentona, devidamente barrada pela pronta reação militar. Por ser sobejamente conhecida a sua história, deixo de apresentar detalhes.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INTERREGNO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A SEGUNDA GUERRA MUNDIAL E O FIM DA ALIANÇA TEUTO-SOVIÉTICA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Em agosto de 1939, uma semana antes da invasão da Polônia, após anos de propaganda maciça e falsa contra 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nazi-fascismo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a URSS assina o Pacto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Molotov-Ribbentrop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[11] com o até então propagandeado arqui-inimigo dos “povos amantes da paz”. No entanto, o Pacto que desamarrou as mãos de Hitler para começar a guerra, apenas culminou e trouxe às claras uma conspiração secreta muito mais antiga, iniciada logo após a I Guerra Mundial, que precisava mais do que nunca ser negada de todas as formas possíveis após a invasão da URSS por Hitler em 1941, já que agora o antigo aliado tornara-se o inimigo temido e odiado.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A história desta aliança de 11 anos (considerando-se oficialmente os anos de 1922 a 1933, mas que na verdade começou em 1919 e só terminou de fato em 1941) jamais foi contada no Brasil, pois 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 negação e a desinformação com que foi dissimulada desde o início, ainda continua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vigorando entre nós, apesar da abertura dos arquivos secretos de Moscou. Já se pode perceber aqui uma das mais importantes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conseqüências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da terceira onda de infiltração que será descrita adiante: a má fé que faz com que parte da </w:t>
            </w:r>
            <w:proofErr w:type="spellStart"/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pseudo-intelectualidade</w:t>
            </w:r>
            <w:proofErr w:type="spellEnd"/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brasileira omita, de caso pensado, todos os fatos do mundo comunista e o total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apatetamento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anomia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dos demais. Os cursos de história continuam falando de um antagonismo mortal entre a “esquerda socialista” (a palavra comunista é proibida e a socialista é atraente) e a “direita fascista”. Como esta foi uma das mais bem sucedidas 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operações de desinformação soviéticas, levantarei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uma ponta do véu que a tem encoberto, baseado em relatos de documentos [12] que hoje estão à disposição de quem quiser ler – se puder se livrar de suas pré-concepções ideológicas.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* * *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O já citado Karl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Radek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foi preso em Berlim em fevereiro de 1919 pela participação e organização através da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Spartakus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Bund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da Revolução de 1918. Depois da assinatura do Tratado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Versailles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no verão do mesmo ano,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Radek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foi transferido de uma cela de segurança máxima para outra extremamente confortável. Nesta foram realizadas as primeiras reuniões secretas que levaram à cooperação entre o Exército Vermelho dos Operários e Camponeses e 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Reichswehr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(Exército Alemão). Em dezembro do mesmo ano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Radek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é libertado sem julgamento e vai a Moscou levando o esboço de um tratado de cooperação que reativaria o acordo feito por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Lenin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com o governo do Kaiser que lhe permitiu passar pelo território alemão para assumir o poder na Rússia em 1917 e que teve como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conseqüência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o cessar fogo e a paz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Brest-Litovsk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3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março de 1918. Durante este intervalo houve realmente antagonismo entre as forças “de direita”, (representada por diversos grupos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para-militares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principalmente os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Stahlhelm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- Capacetes de Aço) e 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Spartakus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Bund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. Os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Stahlhelm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podem ser considerados o núcleo de onde se originaram as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Sturm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Abteilungen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(SA) do Partido Nazista.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Esta cooperação era de interesse fundamental para as duas partes. Na URSS, com a eliminação de quase toda a oficialidade do exército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tzarista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principalmente do Generalato, o 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recém fundado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Exército Vermelho não passava de um amontoado de amadores dirigidos por outro amador: Trotsky. Além de tudo, a Rússia estava diplomaticamente isolada. Já a Alemanha, encontrava-se limitada e humilhada pelo Tratado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Versailles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que impusera pesadíssimas indenizações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mas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sobretudo uma suprema humilhação para os valorosos guerreiros prussianos: o Tratado proibia a Alemanha de possuir uma Força Aérea, submarinos, navios de guerra de grande tonelagem (cruzadores e encouraçados); proibia ainda a fabricação de aviões militares e dirigíveis, tanques e blindados em geral, e armas químicas. Limitava os efetivos em 100.000 homens. Portanto, os dois países poderiam ser chamados apropriadamente de “Párias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Versailles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”.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br/>
              <w:t>Ficou acertado, portanto, que a Rússia incrementaria suas defesas ao receber capital e assessoria técnica, enquanto a Alemanha poderia fazer uso de bases altamente secretas no território russo para fabricar armamento ilegal, principalmente tanques e aviões de guerra, além do fornecimento de metais como molibdênio, níquel, tungstênio e especialmente manganês, sem o qual a produção alemã de aço ficaria paralisada. Formou-se uma empresa de fachada chamada GEFU (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Gesellschaft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zur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Förderung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gewerblicher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Untermehmungen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- Companhia para o Desenvolvimento de Empresas Industriais). Finalmente em 1922 foi assinado o Tratado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Rapallo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confirmado pelo Tratado de Berlin [13] de 1926. 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Reichswehr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foi autorizado a organizar bases militares na URSS para realizar testes de material, ganhando experiência em táticas e treinamento de pessoal nos setores proibidos pelo Tratado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Versailles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. A Alemanha retribuía com compensações materiais e com o direito do Exército Vermelho participar dos testes e manobras. Uma fábrica de produção de gás mostarda e outra de munição de grosso calibre foram estabelecidas.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O segredo era total de ambas as partes. Os soldados alemães usavam trajes civis e não podiam dizer onde estavam nem para seus familiares. Mesmo após 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nazificação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da Alemanha e a mudança de nome de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Reichswehr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para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Wermacht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 colaboração continuava. Em 13 de maio de 1933 numa recepção na Embaixada do Reich em Moscou,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Kliment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Efremovitch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Voroshilov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Comissário do Povo para Assuntos Militares e Navais (Ministro da Guerra), falou da aspiração de manter boas relações entre os “exércitos amigos” no futuro. E 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o General Mikhail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Nikolayevich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Tukhachevsky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Vice Comissário e Chefe do Estado-Maior afirmou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: “Não se esqueçam que é nossa política que nos separa, não nossos sentimentos de amizade do Exército Vermelho e da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Wermacht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(...) vocês e nós, Alemanha e URSS, podemos ditar nossos termos ao mundo todo se permanecermos juntos”. Não obstante, uma das razões para os grandes expurgos de 1936-38, os chamados “Julgamentos de Moscou” [14], foi para manter o segredo destas operações altamente secretas. Stalin executou todos os principais artífices soviéticos desta conspiração, incluindo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Tukhachevsky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Radek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Zinoviev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.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Voroshilov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foi um dos acusadores.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Os dois países encontravam-se unidos contra o mundo ocidental, independentemente das agitações maquinadas pelo Partido Comunista Alemão e pelas divergências internas, o que levou Lloyd George a declarar, no final da Primeira Guerra: “O maior perigo do momento consiste no fato da Alemanha unir seu destino com os Bolcheviques e colocar todos os seus recursos materiais e intelectuais, todo seu talento organizacional ao serviço de fanáticos revolucionários, cujo sonho é a conquista do mundo pela força das armas. Esta ameaça não é apenas uma fantasia” [15]. E não era! A história posterior só fez comprovar 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idéia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profética do ex Primeiro Ministro Britânico!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* * *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Esta conspiração precisava ser mais dissimulada ainda após as hostilidades e, em parte, para isto foi fundado em 1943 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Kominform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[16] (Bureau Comunista de Informação) que durou até 1956, quando foi dissolvido na “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desestalinização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”. 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Kominform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era coordenado pelo PCUS e pelos partidos comunistas da Bulgária, Checoslováquia, França, Hungria, Itália, Polônia, Romênia e Iugoslávia (esta última até sua expulsão em junho de 1948). 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Komimform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foi o responsável pela intensa desinformação durante a guerra e o pós-guerra imediato e através dele Stalin plantou no Ocidente a falsidade da oposição entre o socialismo – de esquerda – o bem maior para o qual 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curvava-se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o “processo histórico”, e 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nazi-fascismo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– de direita – na contramão do “processo histórico”. Quando na realidade </w:t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são vinhos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da mesma pipa.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A SEGUIR: SEGUNDA OFENSIVA – TERCEIRA ESTRATÉGIA E TERCEIRA OFENSIVA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Notas: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[1]Este artigo é baseado em Palestra com o mesmo título apresentada no Clube Militar do Rio de Janeiro em 05/07/05, sob os auspícios da ONG TERNUMA (Terrorismo Nunca Mais)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[2]Uma abordagem mais detalhada dessas estratégias será feita num próximo artigo: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True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Lies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III: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Perestroika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a Mentira do Século.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[3] http://www.historiasiglo20.org/GLOS/komintern.htm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e http://en.wikipedia.org/wiki/Comintern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[4]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Two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open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letters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by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Lenin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to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the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American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and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European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workers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in http://www.marxists.org/reference/archive/dimitrov/works/1919/lenin.htm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[5] http://en.wikipedia.org/wiki/Twenty-one_Conditions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[6] Uma descrição romanceada mas fiel está no livro de Richard Julius Hermann Krebs, sob o pseudônimo de Jan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Valtin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Do fundo da Noite.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Em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inglês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Out of the Night.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[7] http://www.marxists.org/reference/archive/dimitrov/works/1936/12.htm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>[8] Stephen Koch, Double Lives: Spies and Writers in the Secret Soviet War of Ideas Against the West, Free Press, NY, 1994.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 xml:space="preserve">[9] Richard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Gid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Powers, Not Without Honor: The History of American Anticommunism, Yale Univ. Press, London &amp; New Haven, 1995.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 xml:space="preserve">[10] Eugene Lyons, The Red Decade: The Stalinist Penetration of America,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Bobbs-Merril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Idianapolis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, 1941.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 xml:space="preserve">[11]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Ver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na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íntegra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em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http://www.fordham.edu/halsall/mod/1939pact.html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  <w:t xml:space="preserve">[12]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Ver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The Red Army and the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Wermacht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: how the Soviets militarized Germany, 1922-1933, and paved the way for Fascism, Yuri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Dyakov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 xml:space="preserve"> &amp; Tatiana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Bushueyva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t>, Prometheus Book, NY, 1995.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[13] Ambos podem ser lidos em http://www.geocities.com/Athens/Troy/1791/rapollo.html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proofErr w:type="gram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[</w:t>
            </w:r>
            <w:proofErr w:type="gram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14] http://en.wikipedia.org/wiki/Great_Purge#Purge_of_the_army 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[15] Citado em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Truth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about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Peace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Treaties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Munich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1957.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[16] http://en.wikipedia.org/wiki/Cominform</w:t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Sobre o assunto leia também: Uma questão de metodologia - Parte I e II;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True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Lies</w:t>
            </w:r>
            <w:proofErr w:type="spellEnd"/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I e II</w:t>
            </w:r>
          </w:p>
        </w:tc>
        <w:tc>
          <w:tcPr>
            <w:tcW w:w="0" w:type="auto"/>
            <w:vAlign w:val="center"/>
            <w:hideMark/>
          </w:tcPr>
          <w:p w:rsidR="00111FCC" w:rsidRPr="00111FCC" w:rsidRDefault="00111FCC" w:rsidP="00111FCC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 </w:t>
            </w:r>
          </w:p>
        </w:tc>
      </w:tr>
      <w:tr w:rsidR="00111FCC" w:rsidRPr="00111FCC" w:rsidTr="00111F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FCC" w:rsidRPr="00111FCC" w:rsidRDefault="00111FCC" w:rsidP="00111FCC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11FCC" w:rsidRPr="00111FCC" w:rsidRDefault="00111FCC" w:rsidP="00111FCC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111FCC" w:rsidRPr="00111FCC" w:rsidTr="00111F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FCC" w:rsidRPr="00111FCC" w:rsidRDefault="00111FCC" w:rsidP="00111FCC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11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MSM 04 de agosto de 2005</w:t>
            </w:r>
          </w:p>
        </w:tc>
        <w:tc>
          <w:tcPr>
            <w:tcW w:w="0" w:type="auto"/>
            <w:vAlign w:val="center"/>
            <w:hideMark/>
          </w:tcPr>
          <w:p w:rsidR="00111FCC" w:rsidRPr="00111FCC" w:rsidRDefault="00111FCC" w:rsidP="00111F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5435FF" w:rsidRDefault="005435FF"/>
    <w:sectPr w:rsidR="005435FF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1FCC"/>
    <w:rsid w:val="00052982"/>
    <w:rsid w:val="00111FCC"/>
    <w:rsid w:val="00190865"/>
    <w:rsid w:val="00430C80"/>
    <w:rsid w:val="005435FF"/>
    <w:rsid w:val="007B3245"/>
    <w:rsid w:val="00BA6E93"/>
    <w:rsid w:val="00FA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11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3629</Words>
  <Characters>19600</Characters>
  <Application>Microsoft Office Word</Application>
  <DocSecurity>0</DocSecurity>
  <Lines>163</Lines>
  <Paragraphs>46</Paragraphs>
  <ScaleCrop>false</ScaleCrop>
  <Company/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2018-05-16T17:20:00Z</dcterms:created>
  <dcterms:modified xsi:type="dcterms:W3CDTF">2018-05-16T17:21:00Z</dcterms:modified>
</cp:coreProperties>
</file>