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8237"/>
        <w:gridCol w:w="109"/>
      </w:tblGrid>
      <w:tr w:rsidR="00AE3250" w:rsidRPr="00AE3250" w:rsidTr="00AE32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250" w:rsidRPr="00AE3250" w:rsidRDefault="00AE3250" w:rsidP="00AE3250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AE325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val="pt-BR" w:eastAsia="pt-BR"/>
              </w:rPr>
              <w:t>AS RAÍZES HISTÓRICAS DO EIXO DO MAL LATINO AMERICANO - V</w:t>
            </w:r>
          </w:p>
        </w:tc>
        <w:tc>
          <w:tcPr>
            <w:tcW w:w="200" w:type="pct"/>
            <w:vAlign w:val="center"/>
            <w:hideMark/>
          </w:tcPr>
          <w:p w:rsidR="00AE3250" w:rsidRPr="00AE3250" w:rsidRDefault="00AE3250" w:rsidP="00AE3250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AE3250" w:rsidRPr="00AE3250" w:rsidTr="00AE32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250" w:rsidRPr="00AE3250" w:rsidRDefault="00AE3250" w:rsidP="00AE3250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pict>
                <v:rect id="_x0000_i1025" style="width:0;height:.7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E3250" w:rsidRPr="00AE3250" w:rsidRDefault="00AE3250" w:rsidP="00AE3250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AE3250" w:rsidRPr="00AE3250" w:rsidTr="00AE32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250" w:rsidRPr="00AE3250" w:rsidRDefault="00AE3250" w:rsidP="00AE3250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QUARTA OFENSIVA NA AMÉRICA LATINA PRELÚDIO: QUEM VENCEU A CRISE DOS MÍSSEIS EM CUBA?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É impossível entender a quarta ofensiva sem responder com clareza a esta pergunta crucial, pois da existência de Cuba dependeu – e ainda depende – toda a estratégia comunista na América Latina, principalmente a ofensiva militar da luta armada</w:t>
            </w:r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mas</w:t>
            </w:r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também em menor grau, a ofensiva cultural ainda em curso.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O objetivo dos agressores americanos era destruir 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Cuba. O nosso era preservá-la. Hoje Cuba existe, 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portanto quem ganhou? Não nos custou mais do 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que as despesas de ida e volta, para levar os 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mísseis para Cuba e depois trazê-los de volta. 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NIKITA SERGEYEVITCH KHRUSHCHOV 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Em 22 de outubro de 1962, o Presidente John Kennedy anunciou publicamente que a URSS havia posicionado mísseis balísticos de alcance médio e intermediário (MRBM e IRBM) com ogivas nucleares em Cuba, dizendo que os EUA consideravam tal atitude intolerável e exigiam a imediata retirada dos mesmos. Simultaneamente ordenou um bloqueio aeronaval à ilha. A URSS mobilizou mais belonaves e tropas e zarpou em direção à mesma. Durante treze dias parecia que o mundo iria submergir no tão temido combate nuclear. As duas esquadras se confrontaram ao largo do litoral da Flórida e as manobras russas evidenciavam que iriam enfrentar a ameaça e abrir fogo para romper o bloqueio. Ao mesmo tempo, intensas negociações diretas foram encetadas. (Foi aí que se percebeu a necessidade da instalação do famoso “telefone vermelho”, que não era nem telefone nem vermelho, mas um conjunto de transmissores e receptores de teletipo de alta velocidade e resolução).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Finalmente, no dia 4 de novembro a esquadra russa fez meia volta e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Khrushchov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aceitou negociar a retirada dos mísseis e a permanência de parte das tropas convencionais. Estas eram constituídas de 45.000 efetivos e uma grande quantidade de blindados e aviões militares de caça e bombardeio.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Fidel aceitara os mísseis, baseado numa mentira de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Khrushchov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 que o número de mísseis balísticos intercontinentais (ICBM) e ogivas nucleares russas </w:t>
            </w:r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era</w:t>
            </w:r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equivalente ao dos americanos, blefe no qual o mundo todo acreditou na época. Na verdade, a superioridade americana era da ordem de 17 x </w:t>
            </w:r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1</w:t>
            </w:r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(5.000 ogivas nucleares americanas contra aproximadamente 300 soviéticas [1].Da mesma forma, nenhum deles previu a extrema acuidade de observação dos aviões espiões americanos, os U-2 que detectaram imediatamente o desembarque de “cilindros suspeitos” e, com o incremento dos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vôos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, perceberam o posicionamento destes cilindros entre as palmeiras das praias cubanas. 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Terminada a crise o mundo respirou aliviado e Kennedy acreditou que havia vencido a parada e recomendou a seus auxiliares que “não humilhassem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Khrushchov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” e, em mensagem ao Congresso, dissessem que “resolvemos uma das maiores crises da história da humanidade” [2]. O próprio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Khrushchov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admitiu que “fomos obrigados a fazer grandes concessões no interesse da paz”. Mas num comentário, jamais citado no Ocidente, acrescentou: “Foi uma grande vitória nossa, porque conseguimos extrair de Kennedy a promessa de que nem a América, nem seus aliados, invadiriam Cuba”. Num telegrama a Castro disse: “O inimigo estava preparado para atacar Cuba mas nós o detivemos... Podemos ver isto como uma grande vitória”. Quaisquer projetos anteriores à crise dos mísseis de uma nova “Operação Baía dos Porcos” – o fiasco, para não variar, de uma Administração Democrata, de tentar invadir Cuba com um punhado de homens numa traineira – foram relegados ao esquecimento, continuando apenas as palhaçadas da CIA de tentar assassinar Castro.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Toda a operação teria sido montada exclusivamente para arrancar esta concessão de Kennedy? Os historiadores divergem. Alguns pensam que este era um objetivo 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t xml:space="preserve">secundário, outros acham que foi apenas oportunismo da cúpula soviética.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Golitsyn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que chegara no ano anterior como exilado aos EUA, afirma que este era o objetivo principal. Caso Kennedy não reagisse à provocação, estaria cumprido o secundário, com as mesmas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conseqüências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: com a permanência dos mísseis e efetivos russos os americanos não se atreveriam a invadir, mas os soviéticos </w:t>
            </w:r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permaneceriam</w:t>
            </w:r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como os invasores aos olhos do mundo. Como foi, saíram de “amantes da paz” por ela fazendo grandes concessões, e os EUA como os belicosos, que, com sua reação, expuseram o mundo à catástrofe nuclear – o que seria intensamente explorado na ofensiva cultural que se seguiu. No interior do governo soviético, os inimigos de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Khruschov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usaram esta retirada como </w:t>
            </w:r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derrota covarde dele e, junto com outras acusações apresentadas pelo principal ideólogo comunista Vladimir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Suslov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, apearam-no</w:t>
            </w:r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do poder em 1964. No entanto,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Golitsyn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aponta o fato desta ter sido a primeira sucessão sem morte do deposto na história soviética –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Khrushchov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foi mandado para um bom exílio interno como tinha ocorrido com Sakharov – como corroboração de sua tese de que tudo não passou de outro grande engodo.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A PRIMEIRA ETAPA: FASE DE TRANSIÇÃO DO PADRÃO DE VIOLÊNCIA PARA O DE </w:t>
            </w:r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NÃO-VIOLÊNCIA</w:t>
            </w:r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(1968-1989)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A democracia não pode ser defendida de joelhos. 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CARLOS LACERDA 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Quem se defende mostra que sua força é inadequada; 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quem ataca, mostra que ela é abundante. 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SUN TZU 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Como já referi, o Ato Institucional-5, de 13 de dezembro de 1968, foi o principal instrumento para frear a ofensiva guerrilheira e terrorista dando poderes excepcionais aos governos da Junta Militar, que assumiu por doença do Presidente Arthur da Costa e Silva, e do de Emílio Garrastazu Médici (1970-1974). Ao fim do governo deste último as forças guerrilheiras se encontravam desbaratadas. A junta Militar assumiu de 31/8/1969-30/10/1969, tendo entregado o Governo a Médici. Neste intervalo, dois grupos de esquerda, o MR-8 e a ALN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seqüestram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o embaixador dos EUA Charles Burke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Elbrick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exigindo a libertação de 15 presos políticos, exigência conseguida com sucesso. Neste ano os atos terroristas e a agitação estudantil chegaram ao auge (uma boa resenha pode ser vista em [3]). Porém, em 18 de setembro, o governo decreta a Lei de Segurança Nacional. Esta lei decretava o exílio e a pena de morte em casos de "guerra psicológica adversa ou revolucionária, ou subversiva". No final de 1969, o líder da ALN, Carlos Marighela, foi morto pelas forças de policiais em São Paulo. O governo Médici é considerado o mais duro e repressivo do período. O </w:t>
            </w:r>
            <w:proofErr w:type="spellStart"/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DOI-Codi</w:t>
            </w:r>
            <w:proofErr w:type="spellEnd"/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(Destacamento de Operações e Informações e o Centro de Operações de Defesa Interna) atua como centro de investigação e repressão ao terrorismo do governo militar. Ganha força no campo a guerrilha rural, principalmente no Araguaia que é fortemente reprimida pelas forças militares [4].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Hoje se alardeia que </w:t>
            </w:r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foram "anos de chumbo" [5], período de uma “feroz</w:t>
            </w:r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ditadura”. Sem dúvida o AI-5 e a Lei de Segurança Nacional foram instrumentos de exceção, ditatoriais. Mas não é pelos seus aspectos ditatoriais que são hoje combatidos pela mídia</w:t>
            </w:r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mas</w:t>
            </w:r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por seu caráter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anti-revolucionário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. O que se faz supor hoje em dia é que o País estava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tranqüilo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vivendo em paz, e um punhado de malvados resolveu acabar com a farra e estabelecer uma cruel ditadura. Na verdade, foram instrumentos de exceção para fazer </w:t>
            </w:r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face a</w:t>
            </w:r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uma situação de exceção, revolucionária, e com isto negaram aos guerrilheiros e terroristas a possibilidade de utilizar a guerra assimétrica que sempre os beneficia. Entende-se este conceito, inspirado na “Arte da Guerra” de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Sun-Tzu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, em dar tacitamente a um dos lados beligerantes o direito absoluto de usar de todos os meios de ação, por mais vis e criminosos, explorando ao mesmo tempo os compromissos morais e legais que amarram as mãos do adversário. O exemplo mais gritante da atualidade pode ser estudado na guerra entre Israel e os terroristas Palestinos: enquanto aos últimos tudo é permitido e aceito – mesmo os brutais assassinatos de crianças e civis inocentes em bares ou discotecas -, dos primeiros espera-se que conduzam uma espécie de “guerra de cavalheiros” e, quando reagem com métodos adequados, infinitamente menos violentos, são execrados como assassinos cruéis. 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br/>
              <w:t xml:space="preserve">Pois os instrumentos criados pelo governo cortaram na raiz qualquer possibilidade de se estabelecer uma guerra assimétrica. O governo não apenas se defendeu, como os guerrilheiros e terroristas esperavam, mas atacou, seguindo a máxima de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Sun-Tzu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que coloquei em epígrafe. O desbaratamento da guerrilha foi acompanhado acertadamente por um plano desenvolvimentista que fez o País crescer a taxas aceleradas, trazendo o antídoto mais eficaz para barrar as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idéias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comunistas: um povo com emprego e perspectiva de futuro não dá a mínima para ideais comunistas; vide a insignificância do Partido Comunista americano. O dirigente sindical Luís Inácio da Silva, ainda não pervertido pelas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idéias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comunistas disse daquele período: “Naquela época, se houvesse eleições, o Médici ganhava (</w:t>
            </w:r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...) A</w:t>
            </w:r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popularidade do Médici no meio da classe trabalhadora era muito grande. Ora por que? Porque era uma época de pleno emprego” [6].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Outro grande inimigo da “ditadura”,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Elio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Gaspari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[7], numa crítica que mais parece elogio, concorda com Lula: Médici cavalgava popularidade, progresso e desempenho. Uma pesquisa do IBOPE realizada em julho de 1971 atribuíra-lhe 82% de aprovação. Em 1972 a economia cresceria 11,9%, a maior taxa de todos os tempos. Era o quinto ano consecutivo de crescimento superior a 9%. A renda per capita dos brasileiros aumentara 50%. Pela primeira vez na história as exportações de produtos industrializados ultrapassaram </w:t>
            </w:r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1</w:t>
            </w:r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bilhão de dólares. Duplicara a produção de aço e o consumo de energia, triplicara a de veículos, quadruplicara a de navios. A Bolsa de Valores do Rio de Janeiro tivera em agosto uma rentabilidade de 9,4%. No eixo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Rio-</w:t>
            </w:r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São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Paulo executivos ganhavam</w:t>
            </w:r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mais que seus similares americanos ou europeus.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Kombis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das empresas de construção civil recrutavam mão de obra no ABC paulista com alto-falantes oferecendo bons salários e conforto nos alojamentos. Um metalúrgico parcimonioso ganhava o bastante para comprar um fusca novo. Em apenas dois anos os brasileiros com automóvel passaram de 9% para 12% da população e as casas com televisão de 24% para 34%”.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Mais adiante (p. 133) diz sobre o criticado: </w:t>
            </w:r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“Presidiu o país em silêncio, lendo discursos escritos pelos outros, sem confraternizações sociais, implacável com mexericos.</w:t>
            </w:r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Passou pela vida pública com escrupulosa honorabilidade pessoal. Da Presidência tirou o salário de Cr$ 3.439,98 líquidos por mês (equivalente a 724 dólares) e nada mais. Adiou um aumento da carne para vender na baixa os bois de sua estância e desviou o traçado de uma estrada para que ela não lhe valorizasse as terras. </w:t>
            </w:r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Sua mulher decorou a granja oficial do Riacho Fundo com móveis usados recolhidos nos depósitos do funcionalismo de Brasília”</w:t>
            </w:r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. Isto, dito por um adversário, deve valer algo.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Uma outra falácia sobre aqueles anos, endossada por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Gaspari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é a de que o governo combatia defensores da democracia, que queriam “derrubar a ditadura” para transformar o Brasil numa belíssima democracia. Só os incautos ou mal intencionados não se dão conta que tais movimentos eram financiados pelas mais ferozes ditaduras de toda a história da humanidade: URSS, Cuba, China, Tchecoslováquia, Alemanha comunista, Albânia, etc. e o que procuravam implantar no Brasil era um regime como aqueles que os financiavam! Ou alguém é suficientemente ingênuo para acreditar que aquelas ditaduras iriam financiar democratas? Mas aqui já estamos em plena fase de transição para o padrão de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não-violência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, para a revolução cultural baseada em Antonio Gramsci.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O TRIUNFO DA REVOLUÇÃO CULTURAL GRAMCISTA NO BRASIL [8]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Uma das maiores alegrias de um comunista é ver nas bocas de burgueses, nossos adversários, as nossas palavras de ordem.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GIOCONDO DIAS GERBASE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Ex- Secretário Geral do PCB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Talvez o Brasil seja o País em todo o mundo em que a infiltração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gramscista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obteve maior êxito, conseguindo chegar ao ponto extremo da previsão de Olavo de Carvalho, que vale repetir: “O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gramcismo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levado às suas últimas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conseqüências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resultará em varrer a inteligência da face da Terra, o retorno à barbárie mais primitiva, o fim da ciência e da filosofia - enquanto busca da verdade - e a paralisação de todo progresso”. Como bem o disse Reinaldo Azevedo recentemente [9]: “Ninguém fala tanta bobagem hoje no Brasil ou sobre o Brasil como os ditos intelectuais. Não </w:t>
            </w:r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todos, é</w:t>
            </w:r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claro. Apenas a maioria daqueles que gozam da reputação de progressistas e bacanas, os que, obviamente, talvez até aceitassem ser acusados de proxenetas da pobreza, gigolôs da miséria, poetas da distopia e do desencanto. Só não podem ser chamados de reacionários. </w:t>
            </w:r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Isso os deixaria muito ofendidos”</w:t>
            </w:r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. São estes os principais agentes de influência de quem 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t>emanam as mais estapafúrdias palavras de ordem para os idiotas úteis, são os “especialistas” em direitos humanos e coisas que tais, como chamei a atenção em outro artigo [10].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Se a guerrilha e o terrorismo foram vencidos no campo militar, os governos que os enfrentaram descuraram completamente a educação e a cultura, sem perceberem que aí residia a nova ofensiva que acabou levando os derrotados de ontem a serem os vencedores de hoje. É bem verdade que os governos militares tentaram fazer alguma coisa neste sentido, instituindo os cursos de Moral e Cívica com a intenção de despertar a consciência cívica da juventude e cultuar os valores cristãos e democráticos. Cedo, entretanto, os agentes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gramscistas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perceberam o filão que estes cursos representavam para a doutrinação e neles começaram a colocar como professores seus agentes de influência e idiotas úteis para fabricar mais idiotas úteis desde a infância. Os espaços foram sendo ocupados também nos cursos das áreas humanas como história, geografia e ciências sociais. As faculdades passaram a ser verdadeiras escolas de reformadores sociais, abandonando por completo a primazia do conhecimento, preconceito burguês que deveria ser destruído. Não se trata mais de conhecer o mundo – tarefa primordial da humanidade – mas transformá-lo, emburricando com isto várias gerações meramente repetidoras de slogans, incapazes de pensar por si mesmas.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No front externo [11], Miguel Arraes, Marcio Moreira Alves e outros criaram, em outubro de 1969, em Paris, a Frente Brasileira de Informações (FBI), ligada a organizações de esquerda, de oposição ao governo militar do Brasil, um verdadeiro sucessor do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Kominform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(ver Parte I desta série), que tinha por objetivo enaltecer terroristas e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satanizar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nossas Forças Armadas. Os recursos vieram da Argélia, via Miguel Arraes e eram produtos de assaltos terroristas no Brasil, como o do grupo terrorista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VAR-Palmares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que em 18 de julho de 1969 roubou um cofre em Santa Teresa, Rio de Janeiro, com a quantia aproximada de 2,5 milhões de dólares e da ALN de Carlos Marighela que, contando com o ex-ministro da Justiça do governo FHC, Aloysio Nunes Ferreira, assaltou o trem-pagador Santos-Jundiaí, levando </w:t>
            </w:r>
            <w:proofErr w:type="spellStart"/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NCr</w:t>
            </w:r>
            <w:proofErr w:type="spellEnd"/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$ 108 milhões. Além da função de propaganda estes “intelectuais” exilados, entre os quais também se destacava Vinícius Caldeira Brandt, </w:t>
            </w:r>
            <w:proofErr w:type="spellStart"/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ex-Presidente</w:t>
            </w:r>
            <w:proofErr w:type="spellEnd"/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da UNE, tinham profunda e extensa ascendência sobre os agentes de influência no Brasil. 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A grande lição de Gramsci aos comunistas foi: não tomem quartéis, tomem escolas e universidades; não ataquem blindados, ataquem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idéias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gerando dúvidas, nunca apresentando certezas e propondo o diálogo permanente; não assaltem bancos, assaltem redações de jornais; não se mostrem violentos, mas pacifistas e vítimas das violências da “direita”. Por isto os produtos daqueles assaltos passaram a servir às novas causas: a moldagem paciente de um novo senso comum através da dominação da Universidade e das Redações dos jornais.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Eu passara a década de </w:t>
            </w:r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sessenta imerso</w:t>
            </w:r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na doutrinação marxista da qual a muito custo me livrara, quando na década de setenta, no início de minha vida profissional, comecei a perceber algo estranho, que era o motivo do regozijo de Giocondo Dias: aos poucos passei a ouvir “os burgueses” usando o linguajar, as doutrinas e palavras de ordem comunistas, minhas velhas conhecidas dos tempos de ativista. A princípio timidamente</w:t>
            </w:r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mas</w:t>
            </w:r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logo com rapidez, certas expressões que antes eram usadas por comunas como eu fora e execradas pelos “burgueses”, passaram a ser proferidas pelos últimos, como igualdade, injustiça social, ódio aos empresários e ao lucro. Quanto mais a “pequena burguesia” melhorava de vida graças ao “milagre brasileiro” mais execrava a si mesma, numa reação possivelmente culpada por poderem usufruir condições econômicas nunca dantes imaginadas, como a possibilidade de compra de casa própria facilitada pelo boom imobiliário dos anos Médici. 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Esta culpa pela rápida prosperidade tornava a classe média presa fácil para a doutrinação invejosa que transforma inicialmente o linguajar e depois as atitudes e atos das pessoas. Inicialmente foram acusados e depois passaram a se </w:t>
            </w:r>
            <w:proofErr w:type="spellStart"/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auto-acusar</w:t>
            </w:r>
            <w:proofErr w:type="spellEnd"/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 “privilegiados” ou “elite privilegiada”, sem poderem valorizar que o que estavam obtendo era fruto de seu trabalho e não de privilégios espúrios. Os que ainda não tinham acesso às boas novas passaram a ser chamados de “despossuídos”, “oprimidos”, “vítimas da injustiça social” e da “concentração de renda nas mãos dos privilegiados”. Observe-se a diferença entre alguém não possuir algo e ser despossuído: a segunda expressão pressupõe uma ação por parte de outro que o “desapossa”, ou toma posse do que não lhe pertence, para seu 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t xml:space="preserve">próprio usufruto, portanto de apropriação indébita, de roubo! O uso do Particípio também do verbo oprimir pressupõe ação de alguém que oprime. O que este processo visa criar na mente do indivíduo tem nome, dissonância cognitiva: uma reação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disruptiva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causada por coerção psicológica que leva a reagir a uma tensão mental e/ou emocional causada por tentar reconciliar duas crenças opostas,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conflitivas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ou inconsistentes entre si. No caso em pauta, o indivíduo </w:t>
            </w:r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usufrui do</w:t>
            </w:r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que obtém com seu trabalho mas é bombardeado com a noção de não passar de um ladrão. À medida que mais e mais indivíduos vão se convencendo, começa a se formar um consenso que leva a uma pressão grupal insuportável para quem não tem princípios morais sólidos.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Além de oferecer uma falsa moral “alternativa” é preciso ir mais fundo, e como os países alvos são predominantemente cristãos e, dentre as religiões cristãs, a católica é a mais unificada e</w:t>
            </w:r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portanto</w:t>
            </w:r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mais forte isoladamente, foi aí que se deu o ataque. Mais uma vez, seguindo Gramsci e as orientações do KGB, o ataque não poderia ser frontal. Com outras palavras Gramsci disse isto: não ataquem a religião como o “ópio do povo”, isto não deu e não dará certo, só reforçará a fé e a solidariedade interna, penetrem nas Igrejas e substituam os Evangelhos por nosso próprio ópio, o marxismo, como se Evangelhos fossem!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Por isto, uma das influências mais nefastas foi a da “Teologia da Libertação”, que consistiu num movimento que ultrapassa as letras teológicas e repercute sobre o conjunto da vida da Igreja católica. A Conferência de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Medellin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, em 1968, que reuniu os bispos da América Latina (CELAM), afirmou a "opção preferencial pelos pobres". A igreja seria mais profundamente identificada com os "últimos" deste mundo, que devem ser os "primeiros" no Reino de Deus. Esta afirmação implicou revisões profundas na imagem da Igreja latino-americana. A identificação com as “elites coloniais” foi contestada em nome de uma aproximação com os pobres. 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“</w:t>
            </w:r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Ancorados nesta resolução episcopal, teólogos e agentes pastorais deslancharam um grande movimento de reforma. A Igreja deveria ser reconstruída a partir de suas bases locais, enraizadas na experiência popular e numa nova leitura da Palavra de Deus. Insatisfeitos com a estrutura paroquial, estes agentes preconizaram a multiplicação de pequenas comunidades de fé, denominadas "Comunidades Eclesiais de Base" (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CEBs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). Compensando a carência de padres, as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CEBs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seriam animadas por ministros leigos, (muitos treinados em Cuba e outros países comunistas como a Polônia, caso do autor desse texto), apoiados por agentes do clero. Ao invés da ênfase nos ritos tradicionais, a religiosidade das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CEBs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deveria concentrar-se no entendimento da Bíblia e seu significado para o drama histórico atual. Implicava, portanto, uma estreita associação entre as linguagens da teologia e da sociologia, sobretudo de orientação marxista. Envolvia, também, uma aproximação entre as pastorais especializadas e os movimentos sociais. Missionários foram estimulados a contribuir para as lutas indígenas e pela posse da terra (através da reforma agrária de cunho nitidamente leninista). Os instrumentos de ação concreta foram o Conselho Indigenista Missionário (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Cimi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) e as Pastorais, da Terra, da Favela, do Menor. Principalmente, os meios sindicais ganharam uma nova corrente de agentes católicos que participaram da formação do Partido dos Trabalhadores. 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Grande parte do que foi dito no parágrafo acima, com acréscimos meus, foi retirado de um texto publicado oficialmente pelo Ministério das Relações Exteriores [12] de autoria de Rubem César Fernandes, não por coincidência Diretor-Executivo do Movimento Viva Rio, que quer “despossuir” os cidadãos de bem de suas parcas defesas pessoais, e menos por coincidência ainda, Mestre em Filosofia pela Universidade de Varsóvia onde esteve exilado, portanto em pleno regime </w:t>
            </w:r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comunista</w:t>
            </w:r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quando esta Faculdade era marxismo puro, tanto que a primeira atitude do Solidariedade Estudantil quando da queda do comunista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Jaruszelski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foi mandar todos os professores de marxismo para casa (e outros lugares mais adequados!) e jogar fora os livros de marxismo. Parece que o </w:t>
            </w:r>
            <w:proofErr w:type="spellStart"/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sr.</w:t>
            </w:r>
            <w:proofErr w:type="spellEnd"/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Fernandes não concordou com esta atitude libertadora! Não é lícito supor que ele seja um dos principais agentes de influência? E que organização </w:t>
            </w:r>
            <w:proofErr w:type="spellStart"/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não-governamental</w:t>
            </w:r>
            <w:proofErr w:type="spellEnd"/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é esta cujo Diretor tem um artigo oficialmente publicado por um órgão governamental? Não é lícito supor também que o próprio Governo atual não passa de um agente de influência de causas nada nacionais, o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Komintern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Latino Americano – o Foro de São Paulo?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Embora a “Teologia” da Libertação germinasse em toda a América Latina, com Gustavo Gutierrez, na Colômbia, ou Juan Luis Segundo, no Uruguai, foi no Brasil que este movimento alcançou maiores dimensões. Leonardo Boff,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Clodovis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Boff, Carlos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Meister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 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t xml:space="preserve">“Frei”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Betto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são alguns nomes de destaque. Mas o principal agente foi sem dúvida Dom Hélder Câmara. “Graças aos seus esforços o caráter </w:t>
            </w:r>
            <w:proofErr w:type="spellStart"/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anti-social</w:t>
            </w:r>
            <w:proofErr w:type="spellEnd"/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do regime militar foi tornado mais lúcido nos diferenciados centros episcopais brasileiros”, favorecendo o surgimento de uma nova geração de bispos engajada nos ideais marxistas. O resultado de todo esse trabalho veio à tona, em 1971, com a vitória, na CNBB, de uma diretoria mais comprometida com os problemas sociais brasileiros, “evangelicamente em comunhão estreita com os despossuídos”.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Em Puebla, 1979, Dom Hélder Câmara novamente desempenhou papel predominante, desmontando as estruturas preparatórias estabelecidas pelos conservadores, que tentavam estabelecer uma hegemonia decisória sobre o temário a ser discutido. Destaque-se a sua atuação articuladora nas sessões que tratavam da reformulação da Teologia da Libertação.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Datam de 1979 também, dois eventos que denotam a perfeita coordenação entre os agentes de influência no exterior com os do interior do País e destes para os idiotas úteis. Estávamos no último governo do ciclo militar, o de João Baptista Figueiredo, que já assumira com as firmes garantias de </w:t>
            </w:r>
            <w:proofErr w:type="spellStart"/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re-democratização</w:t>
            </w:r>
            <w:proofErr w:type="spellEnd"/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com entrega do poder a um civil e pleno funcionamento dos mecanismos democráticos. Pois se muitos entraram entusiasmados num novo período de plena democracia que estava por vir, os mesmos </w:t>
            </w:r>
            <w:proofErr w:type="spellStart"/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pseudo-democratas</w:t>
            </w:r>
            <w:proofErr w:type="spellEnd"/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guerrilheiros e terroristas, alguns inclusive voltando do exílio, aproveitaram estas franquias para aprofundar seu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ominoso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trabalho de minar a tenra democracia com vistas a liquidá-la e instalar a tão sonhada ditadura do proletariado. Limitar-me-ei a estes dois eventos para não tomar muito espaço, mas podem ser multiplicados por vários milhares. 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O avanço sobre as instituições de ensino e a mídia foi avassalador! No Rio de Janeiro, a mídia submeteu-se mais tardiamente, como veremos no segundo evento.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Na sociedade profissional à qual eu estava filiado, a Sociedade Brasileira de Psicanálise do Rio de Janeiro, foi apresentado um “Curso de Introdução à Filosofia”, organizado por Leandro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Konder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 Carlos Nelson Coutinho, dupla que eu já conhecia de livros há muito, com um Programa cujo texto não </w:t>
            </w:r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guardei</w:t>
            </w:r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– nem das cartas que se seguiram, eram épocas pré-computador! - mas que era aproximadamente assim: 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FILÓSOFOS PRÉ-MARXISTAS: Pré Socráticos – 1 aula; Sócrates, Platão e Aristóteles – 1 aula; Iluministas – 1 aula; Hegel e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Feuerbach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– 3 aulas. MARX E OS MARXISTAS: Marx – 6 aulas (não lembro o restante, nem importa!). Imediatamente denunciei em carta à Presidente da Sociedade a evidente trapaça e desonestidade intelectual. Quase fui expulso! Recebi uma carta violenta e retruquei no mesmo tom. Poucos dias depois o curso foi suspenso. Só bem mais tarde eu soube </w:t>
            </w:r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porque</w:t>
            </w:r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: suspeitavam que eu fosse agente do SNI! A partir da década de 80 a penetração foi muito extensa e o patrulhamento ideológico intensíssimo, a ponto de alunos que tinham carros importados serem obrigados a deixá-los longe da sede porque eram muito criticados pelo “elitismo” e “privilégios”!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O segundo acontecimento ilustra melhor ainda o clima de perseguição que se formara. Refere-se à crise na Faculdade de Filosofia da PUC-RJ, relatado em livro do Filósofo Antonio Ferreira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Paim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[13] que ao que eu saiba teve poucas – se não só uma – edição e mereceria várias. A leitura deste debate memorável, como o denominou o autor, causou-me na época profunda impressão. No dia 14/03/1979 o Jornal do Brasil – note-se que a mídia ainda não estava dominada, hoje jamais sairia! – uma carta da Professora Anna Maria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Moog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Rodrigues endereçada ao Chefe do Departamento de Filosofia, na qual protestava contra a censura de um texto do Prof. Miguel Reale – A Filosofia como Autoconsciência de um Povo - numa coletânea didática para a Disciplina História do Pensamento. No dia seguinte o JB publica uma carta-resposta do Diretor do Departamento informando que o texto “não fora incluído na apostila oficial, face ao caráter polêmico e controvertido das atividades políticas do autor”. Dois dias depois, o JB publicava a carta do Reitor justificando a atitude do Departamento e qualificando de ridículas as alegações da Professora de haver uma crise na Universidade. Imediatamente a mesma pede exoneração e é acompanhada pelo autor do livro que dizia que, “sendo oficialmente reconhecida a censura, não mais poderia permanecer no Departamento”. 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O debate se estende por muito tempo, incluindo a tomada de posição de três prestigiosos jornais (JB, Globo, O Estado de São Paulo) a favor dos demissionários – bons tempos aqueles em que a imprensa cumpria suas funções! Só para ter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idéia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: Filosofia Intolerante (JB), Discriminação Ideológica (O Globo), A Opção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Totalitátia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dos Intelectuais (Estadão), etc. 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t xml:space="preserve">Na brilhante análise que faz da crise, entre outras preciosidades o Prof.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Paim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põe o dedo na ferida: Reale não tinha sido censurado por sua opção integralista de outrora – já que eram aceitos os pensamentos de outros luminares integralistas como o próprio Hélder Câmara, Alceu Amoroso Lima, Roland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Corbisier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etc. – mas sim pelo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culturalismo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 Reale que “corresponde </w:t>
            </w:r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à</w:t>
            </w:r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mais cabal refutação de todo tipo de totalitarismo”, e que “impediu a penetração, no Brasil, da denominada filosofia da libertação (...) tendo que se conformar em se apresentar (aqui) com a forma mais restrita de teologia da libertação”! 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O livro é uma verdadeira aula de como os marxistas </w:t>
            </w:r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tomam</w:t>
            </w:r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 assalto uma Universidade e expulsam todos os demais. Estava semeado o terreno para a colheita.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SEGUE: A COLHEITA: O EIXO DO MAL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[</w:t>
            </w:r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1] James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Blight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et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al., Cuba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on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the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Brink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: Castro,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the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Missile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Crisis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and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the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Soviet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Collapse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NY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Pantheon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, 1993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[2] John Lewis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Gaddis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We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Now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Know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: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Rethinking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Cold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War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History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Oxford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University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Press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, NY, 1997 – Assim como as demais informações nesta seção que não estiverem referidas a outras fontes.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[3] A TV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Lumumba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 o a AI-5, de Félix Mayer.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[4] Para entender este movimento ver os artigos de Carlos I. Azambuja iniciados em http://www.midiasemmascara.com.br/artigo.php?sid=1406 e seguir os links para os demais. E o livro de Aluísio Madruga de Moura e Souza, Guerrilha do Araguaia: Revanchismo, ed. pelo autor, Brasília, 2002 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[</w:t>
            </w:r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5] Para melhor entender este período ler O Fascínio dos Anos de Chumbo, de Raymundo Negrão Torres, ed. pelo autor, Curitiba, 2004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[6] Depoimento a Ronaldo Costa Couto em Memória viva do regime militar,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cit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em Raymundo Negrão Torres, op. cit.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[7] Em A Ditadura Derrotada, Companhia das Letras, 2003, pp. 26-27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[8] Para Gramsci rever Parte III desta série e suas referências.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[9] Alencastro, 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http://www.primeiraleitura.com.br/auto/entenda.php?id=6249 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[10] Especialistas em quê mesmo? 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proofErr w:type="gram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11]</w:t>
            </w:r>
            <w:proofErr w:type="gram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FBI: um </w:t>
            </w:r>
            <w:proofErr w:type="spellStart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onagro</w:t>
            </w:r>
            <w:proofErr w:type="spellEnd"/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franco-argelino-brasileiro.</w:t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[12] Em http://www.mre.gov.br/cdbrasil/itamaraty/web/port/artecult/religiao/tlibert/apresent.htm</w:t>
            </w:r>
          </w:p>
        </w:tc>
        <w:tc>
          <w:tcPr>
            <w:tcW w:w="0" w:type="auto"/>
            <w:vAlign w:val="center"/>
            <w:hideMark/>
          </w:tcPr>
          <w:p w:rsidR="00AE3250" w:rsidRPr="00AE3250" w:rsidRDefault="00AE3250" w:rsidP="00AE3250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t> </w:t>
            </w:r>
          </w:p>
        </w:tc>
      </w:tr>
      <w:tr w:rsidR="00AE3250" w:rsidRPr="00AE3250" w:rsidTr="00AE32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250" w:rsidRPr="00AE3250" w:rsidRDefault="00AE3250" w:rsidP="00AE3250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pict>
                <v:rect id="_x0000_i1026" style="width:0;height:.7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AE3250" w:rsidRPr="00AE3250" w:rsidRDefault="00AE3250" w:rsidP="00AE3250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AE3250" w:rsidRPr="00AE3250" w:rsidTr="00AE32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3250" w:rsidRPr="00AE3250" w:rsidRDefault="00AE3250" w:rsidP="00AE3250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AE32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MSM 23 de setembro de 2005</w:t>
            </w:r>
          </w:p>
        </w:tc>
        <w:tc>
          <w:tcPr>
            <w:tcW w:w="0" w:type="auto"/>
            <w:vAlign w:val="center"/>
            <w:hideMark/>
          </w:tcPr>
          <w:p w:rsidR="00AE3250" w:rsidRPr="00AE3250" w:rsidRDefault="00AE3250" w:rsidP="00AE325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:rsidR="005435FF" w:rsidRDefault="005435FF"/>
    <w:sectPr w:rsidR="005435FF" w:rsidSect="000529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E3250"/>
    <w:rsid w:val="00052982"/>
    <w:rsid w:val="00190865"/>
    <w:rsid w:val="00430C80"/>
    <w:rsid w:val="005435FF"/>
    <w:rsid w:val="007B3245"/>
    <w:rsid w:val="00AE3250"/>
    <w:rsid w:val="00BA6E93"/>
    <w:rsid w:val="00FA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FF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32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4564</Words>
  <Characters>24650</Characters>
  <Application>Microsoft Office Word</Application>
  <DocSecurity>0</DocSecurity>
  <Lines>205</Lines>
  <Paragraphs>58</Paragraphs>
  <ScaleCrop>false</ScaleCrop>
  <Company/>
  <LinksUpToDate>false</LinksUpToDate>
  <CharactersWithSpaces>29156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Alyne</dc:creator>
  <cp:keywords/>
  <dc:description/>
  <cp:lastModifiedBy>Alyne</cp:lastModifiedBy>
  <cp:revision>1</cp:revision>
  <dcterms:created xsi:type="dcterms:W3CDTF">2018-05-16T16:31:00Z</dcterms:created>
  <dcterms:modified xsi:type="dcterms:W3CDTF">2018-05-16T16:32:00Z</dcterms:modified>
</cp:coreProperties>
</file>